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73117BC6" w14:textId="1069EE05" w:rsidR="008844E3" w:rsidRDefault="008844E3" w:rsidP="008844E3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Customer Success Manager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5F167809" w14:textId="696B5A34" w:rsidR="00E748E7" w:rsidRDefault="008844E3" w:rsidP="008844E3">
      <w:pPr>
        <w:pStyle w:val="LO-normal"/>
        <w:spacing w:after="0" w:line="276" w:lineRule="auto"/>
        <w:rPr>
          <w:rFonts w:ascii="Source Sans Pro" w:hAnsi="Source Sans Pro"/>
          <w:sz w:val="26"/>
          <w:szCs w:val="26"/>
          <w:shd w:val="clear" w:color="auto" w:fill="FFFFFF"/>
        </w:rPr>
      </w:pP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At [Company X], client </w:t>
      </w:r>
      <w:r>
        <w:rPr>
          <w:rFonts w:ascii="Source Sans Pro" w:hAnsi="Source Sans Pro"/>
          <w:sz w:val="26"/>
          <w:szCs w:val="26"/>
          <w:shd w:val="clear" w:color="auto" w:fill="FFFFFF"/>
        </w:rPr>
        <w:t>value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</w:t>
      </w:r>
      <w:r>
        <w:rPr>
          <w:rFonts w:ascii="Source Sans Pro" w:hAnsi="Source Sans Pro"/>
          <w:sz w:val="26"/>
          <w:szCs w:val="26"/>
          <w:shd w:val="clear" w:color="auto" w:fill="FFFFFF"/>
        </w:rPr>
        <w:t>is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our top priority. We’re looking for a dedicated and personable </w:t>
      </w:r>
      <w:r>
        <w:rPr>
          <w:rFonts w:ascii="Source Sans Pro" w:hAnsi="Source Sans Pro"/>
          <w:sz w:val="26"/>
          <w:szCs w:val="26"/>
          <w:shd w:val="clear" w:color="auto" w:fill="FFFFFF"/>
        </w:rPr>
        <w:t>customer success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manager to </w:t>
      </w:r>
      <w:r>
        <w:rPr>
          <w:rFonts w:ascii="Source Sans Pro" w:hAnsi="Source Sans Pro"/>
          <w:sz w:val="26"/>
          <w:szCs w:val="26"/>
          <w:shd w:val="clear" w:color="auto" w:fill="FFFFFF"/>
        </w:rPr>
        <w:t>work with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client accounts and </w:t>
      </w:r>
      <w:r>
        <w:rPr>
          <w:rFonts w:ascii="Source Sans Pro" w:hAnsi="Source Sans Pro"/>
          <w:sz w:val="26"/>
          <w:szCs w:val="26"/>
          <w:shd w:val="clear" w:color="auto" w:fill="FFFFFF"/>
        </w:rPr>
        <w:t>ensure they successfully deploy, adopt and utilise our service</w:t>
      </w:r>
      <w:r>
        <w:rPr>
          <w:rFonts w:ascii="Source Sans Pro" w:hAnsi="Source Sans Pro"/>
          <w:sz w:val="26"/>
          <w:szCs w:val="26"/>
          <w:shd w:val="clear" w:color="auto" w:fill="FFFFFF"/>
        </w:rPr>
        <w:t>. The ideal candidate will have a passion for helping others and a drive for providing exceptional customer service. Applicants should also be proficient with audits, spreadsheets, and other productivity software. Apply today and help us build meaningful, long-lasting relationships that move our business forward</w:t>
      </w:r>
      <w:r w:rsidR="001B0CBC">
        <w:rPr>
          <w:rFonts w:ascii="Source Sans Pro" w:hAnsi="Source Sans Pro"/>
          <w:sz w:val="26"/>
          <w:szCs w:val="26"/>
          <w:shd w:val="clear" w:color="auto" w:fill="FFFFFF"/>
        </w:rPr>
        <w:t>.</w:t>
      </w:r>
    </w:p>
    <w:p w14:paraId="1CBCC06B" w14:textId="77777777" w:rsidR="001B0CBC" w:rsidRDefault="001B0CBC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7349C9BC" w14:textId="77777777" w:rsidR="008844E3" w:rsidRDefault="008844E3" w:rsidP="008844E3">
      <w:pPr>
        <w:pStyle w:val="Heading2"/>
      </w:pPr>
      <w:r>
        <w:t>Roles and responsibilities</w:t>
      </w:r>
    </w:p>
    <w:p w14:paraId="70CD1CAB" w14:textId="77777777" w:rsidR="008844E3" w:rsidRDefault="008844E3" w:rsidP="008844E3">
      <w:pPr>
        <w:pStyle w:val="LO-normal"/>
      </w:pPr>
      <w:r>
        <w:rPr>
          <w:rFonts w:ascii="Arial" w:eastAsia="Arial" w:hAnsi="Arial" w:cs="Arial"/>
        </w:rPr>
        <w:t xml:space="preserve">Customer Success Manager - </w:t>
      </w:r>
    </w:p>
    <w:p w14:paraId="07D1B134" w14:textId="77777777" w:rsidR="008844E3" w:rsidRDefault="008844E3" w:rsidP="008844E3">
      <w:pPr>
        <w:pStyle w:val="LO-normal"/>
        <w:numPr>
          <w:ilvl w:val="0"/>
          <w:numId w:val="12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Product Education and Training</w:t>
      </w:r>
    </w:p>
    <w:p w14:paraId="1287CCB8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Train clients to use and value the implemented offering</w:t>
      </w:r>
    </w:p>
    <w:p w14:paraId="7EC5647D" w14:textId="77777777" w:rsidR="008844E3" w:rsidRDefault="008844E3" w:rsidP="008844E3">
      <w:pPr>
        <w:pStyle w:val="LO-normal"/>
        <w:numPr>
          <w:ilvl w:val="0"/>
          <w:numId w:val="12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Account Growth</w:t>
      </w:r>
    </w:p>
    <w:p w14:paraId="75AD11B5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Run up-selling and cross-selling initiatives</w:t>
      </w:r>
    </w:p>
    <w:p w14:paraId="0B8D482A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Collaborate with sales teams to identify new sales opportunities</w:t>
      </w:r>
    </w:p>
    <w:p w14:paraId="46162D07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Provide the account data analysis and reporting</w:t>
      </w:r>
    </w:p>
    <w:p w14:paraId="5BCA411B" w14:textId="77777777" w:rsidR="008844E3" w:rsidRDefault="008844E3" w:rsidP="008844E3">
      <w:pPr>
        <w:pStyle w:val="LO-normal"/>
        <w:numPr>
          <w:ilvl w:val="0"/>
          <w:numId w:val="12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Account Relationship Management</w:t>
      </w:r>
    </w:p>
    <w:p w14:paraId="7930814C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Provide regular customer feedback on performance reporting, value delivered and measurements of success</w:t>
      </w:r>
    </w:p>
    <w:p w14:paraId="54DD2E4E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Act as the first point of contact for customer requests</w:t>
      </w:r>
    </w:p>
    <w:p w14:paraId="44463D2E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Engage with senior decision makers, maintain positive relationships and proactively increase the influence of our organization</w:t>
      </w:r>
    </w:p>
    <w:p w14:paraId="55A5D531" w14:textId="77777777" w:rsidR="008844E3" w:rsidRDefault="008844E3" w:rsidP="008844E3">
      <w:pPr>
        <w:pStyle w:val="LO-normal"/>
        <w:numPr>
          <w:ilvl w:val="0"/>
          <w:numId w:val="12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Quarterly Business Review Management</w:t>
      </w:r>
    </w:p>
    <w:p w14:paraId="55F09D94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Produce QBR collateral (agenda items, ROI of our offering, benchmark data and other relevant information)</w:t>
      </w:r>
    </w:p>
    <w:p w14:paraId="0ADA1C5F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Run regular QBRs with key customers</w:t>
      </w:r>
    </w:p>
    <w:p w14:paraId="6C7F27AD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Establish QBRs guidelines and governance structures</w:t>
      </w:r>
    </w:p>
    <w:p w14:paraId="6521F668" w14:textId="77777777" w:rsidR="008844E3" w:rsidRDefault="008844E3" w:rsidP="008844E3">
      <w:pPr>
        <w:pStyle w:val="LO-normal"/>
        <w:numPr>
          <w:ilvl w:val="0"/>
          <w:numId w:val="12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Account Product Feedback</w:t>
      </w:r>
    </w:p>
    <w:p w14:paraId="62F6D69C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Document and organize product feedback from customers</w:t>
      </w:r>
    </w:p>
    <w:p w14:paraId="32940EEA" w14:textId="77777777" w:rsidR="008844E3" w:rsidRDefault="008844E3" w:rsidP="008844E3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Solicit formal and informal feedback on the organization's offerings</w:t>
      </w:r>
    </w:p>
    <w:p w14:paraId="53FE47B2" w14:textId="41E1175B" w:rsidR="00755EB4" w:rsidRPr="001B0CBC" w:rsidRDefault="00755EB4" w:rsidP="008844E3">
      <w:pPr>
        <w:pStyle w:val="LO-normal"/>
        <w:ind w:left="1080"/>
        <w:rPr>
          <w:rFonts w:ascii="Arial" w:eastAsia="Arial" w:hAnsi="Arial" w:cs="Arial"/>
        </w:rPr>
      </w:pPr>
    </w:p>
    <w:p w14:paraId="6FC396B9" w14:textId="3FD10034" w:rsidR="00882B95" w:rsidRDefault="0006778E" w:rsidP="00882B95">
      <w:pPr>
        <w:pStyle w:val="Heading2"/>
        <w:spacing w:line="240" w:lineRule="auto"/>
        <w:ind w:left="360"/>
      </w:pPr>
      <w:r>
        <w:t>Accountable metrics</w:t>
      </w:r>
      <w:r w:rsidR="00882B95">
        <w:br/>
      </w:r>
    </w:p>
    <w:p w14:paraId="02567ADD" w14:textId="77777777" w:rsidR="008844E3" w:rsidRPr="001B0CBC" w:rsidRDefault="008844E3" w:rsidP="008844E3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8844E3">
        <w:t>CSM: Assigned accounts CSAT</w:t>
      </w:r>
    </w:p>
    <w:p w14:paraId="65693440" w14:textId="77777777" w:rsidR="008844E3" w:rsidRDefault="008844E3" w:rsidP="008844E3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8844E3">
        <w:t>CSM: Assigned accounts Health Score</w:t>
      </w:r>
    </w:p>
    <w:p w14:paraId="6F575B4C" w14:textId="2FF9FD89" w:rsidR="008844E3" w:rsidRDefault="008844E3" w:rsidP="008844E3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8844E3">
        <w:t>CSM: Quota attainment (upsell/cross-sell/renewal)</w:t>
      </w:r>
    </w:p>
    <w:p w14:paraId="56E8827B" w14:textId="4FCEE2FA" w:rsidR="0006778E" w:rsidRDefault="0006778E" w:rsidP="0006778E">
      <w:pPr>
        <w:pStyle w:val="Heading2"/>
      </w:pPr>
      <w:r>
        <w:t>Compensation guide*</w:t>
      </w:r>
    </w:p>
    <w:p w14:paraId="30E289A4" w14:textId="669EACA8" w:rsidR="0006778E" w:rsidRDefault="00E748E7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AUD </w:t>
      </w:r>
      <w:r w:rsidR="0006778E">
        <w:rPr>
          <w:rFonts w:ascii="Arial" w:eastAsia="Arial" w:hAnsi="Arial" w:cs="Arial"/>
        </w:rPr>
        <w:t>$</w:t>
      </w:r>
      <w:r w:rsidR="008844E3">
        <w:rPr>
          <w:rFonts w:ascii="Arial" w:eastAsia="Arial" w:hAnsi="Arial" w:cs="Arial"/>
        </w:rPr>
        <w:t>8</w:t>
      </w:r>
      <w:r w:rsidR="001B0CBC"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t>,000 (base only)</w:t>
      </w:r>
      <w:r w:rsidR="0006778E">
        <w:rPr>
          <w:rFonts w:ascii="Arial" w:eastAsia="Arial" w:hAnsi="Arial" w:cs="Arial"/>
        </w:rPr>
        <w:t xml:space="preserve"> 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8294E" w14:textId="77777777" w:rsidR="00FB6D48" w:rsidRDefault="00FB6D48" w:rsidP="00FE4AB7">
      <w:pPr>
        <w:spacing w:after="0" w:line="240" w:lineRule="auto"/>
      </w:pPr>
      <w:r>
        <w:separator/>
      </w:r>
    </w:p>
  </w:endnote>
  <w:endnote w:type="continuationSeparator" w:id="0">
    <w:p w14:paraId="3C25A3CC" w14:textId="77777777" w:rsidR="00FB6D48" w:rsidRDefault="00FB6D48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8B8E" w14:textId="77777777" w:rsidR="00FB6D48" w:rsidRDefault="00FB6D48" w:rsidP="00FE4AB7">
      <w:pPr>
        <w:spacing w:after="0" w:line="240" w:lineRule="auto"/>
      </w:pPr>
      <w:r>
        <w:separator/>
      </w:r>
    </w:p>
  </w:footnote>
  <w:footnote w:type="continuationSeparator" w:id="0">
    <w:p w14:paraId="61C7ADCF" w14:textId="77777777" w:rsidR="00FB6D48" w:rsidRDefault="00FB6D48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4145586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3D7D33D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11"/>
  </w:num>
  <w:num w:numId="3" w16cid:durableId="1736388614">
    <w:abstractNumId w:val="0"/>
  </w:num>
  <w:num w:numId="4" w16cid:durableId="804935971">
    <w:abstractNumId w:val="6"/>
  </w:num>
  <w:num w:numId="5" w16cid:durableId="139621298">
    <w:abstractNumId w:val="3"/>
  </w:num>
  <w:num w:numId="6" w16cid:durableId="464978609">
    <w:abstractNumId w:val="10"/>
  </w:num>
  <w:num w:numId="7" w16cid:durableId="885145440">
    <w:abstractNumId w:val="7"/>
  </w:num>
  <w:num w:numId="8" w16cid:durableId="1869561669">
    <w:abstractNumId w:val="1"/>
  </w:num>
  <w:num w:numId="9" w16cid:durableId="788013816">
    <w:abstractNumId w:val="9"/>
  </w:num>
  <w:num w:numId="10" w16cid:durableId="352148915">
    <w:abstractNumId w:val="2"/>
  </w:num>
  <w:num w:numId="11" w16cid:durableId="2087267770">
    <w:abstractNumId w:val="5"/>
  </w:num>
  <w:num w:numId="12" w16cid:durableId="1330135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1B0CBC"/>
    <w:rsid w:val="00360E1A"/>
    <w:rsid w:val="006626B0"/>
    <w:rsid w:val="00755EB4"/>
    <w:rsid w:val="00882B95"/>
    <w:rsid w:val="008844E3"/>
    <w:rsid w:val="00A93C17"/>
    <w:rsid w:val="00B6275D"/>
    <w:rsid w:val="00C27C1C"/>
    <w:rsid w:val="00DC58BB"/>
    <w:rsid w:val="00E748E7"/>
    <w:rsid w:val="00FB6D48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2213</Characters>
  <Application>Microsoft Office Word</Application>
  <DocSecurity>0</DocSecurity>
  <Lines>63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2022-10-14T02:35:00Z</dcterms:created>
  <dcterms:modified xsi:type="dcterms:W3CDTF">2022-10-14T02:35:00Z</dcterms:modified>
  <dc:language>en-AU</dc:language>
</cp:coreProperties>
</file>