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51EC8D4A" w14:textId="77777777" w:rsidR="00B32DB5" w:rsidRDefault="00B32DB5" w:rsidP="00B32DB5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Partnerships Manager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>Job Details</w:t>
      </w:r>
    </w:p>
    <w:p w14:paraId="5C3A1060" w14:textId="42EE8EC2" w:rsidR="00B32DB5" w:rsidRDefault="00B32DB5" w:rsidP="00B32DB5">
      <w:pPr>
        <w:pStyle w:val="NormalWeb"/>
        <w:shd w:val="clear" w:color="auto" w:fill="FFFFFF"/>
        <w:spacing w:before="240" w:beforeAutospacing="0" w:after="240" w:afterAutospacing="0" w:line="276" w:lineRule="auto"/>
        <w:textAlignment w:val="baseline"/>
        <w:rPr>
          <w:rFonts w:ascii="Source Sans Pro" w:hAnsi="Source Sans Pro"/>
          <w:sz w:val="26"/>
          <w:szCs w:val="26"/>
        </w:rPr>
      </w:pPr>
      <w:r>
        <w:rPr>
          <w:rFonts w:ascii="Source Sans Pro" w:hAnsi="Source Sans Pro"/>
          <w:sz w:val="26"/>
          <w:szCs w:val="26"/>
        </w:rPr>
        <w:t xml:space="preserve">At [Company X], we're always looking to strengthen our business by adding </w:t>
      </w:r>
      <w:r>
        <w:rPr>
          <w:rFonts w:ascii="Source Sans Pro" w:hAnsi="Source Sans Pro"/>
          <w:sz w:val="26"/>
          <w:szCs w:val="26"/>
        </w:rPr>
        <w:t>value creating partners to our ecosystem</w:t>
      </w:r>
      <w:r>
        <w:rPr>
          <w:rFonts w:ascii="Source Sans Pro" w:hAnsi="Source Sans Pro"/>
          <w:sz w:val="26"/>
          <w:szCs w:val="26"/>
        </w:rPr>
        <w:t xml:space="preserve">. We’re seeking a </w:t>
      </w:r>
      <w:r>
        <w:rPr>
          <w:rFonts w:ascii="Source Sans Pro" w:hAnsi="Source Sans Pro"/>
          <w:sz w:val="26"/>
          <w:szCs w:val="26"/>
        </w:rPr>
        <w:t>Partnerships</w:t>
      </w:r>
      <w:r>
        <w:rPr>
          <w:rFonts w:ascii="Source Sans Pro" w:hAnsi="Source Sans Pro"/>
          <w:sz w:val="26"/>
          <w:szCs w:val="26"/>
        </w:rPr>
        <w:t xml:space="preserve"> </w:t>
      </w:r>
      <w:r>
        <w:rPr>
          <w:rFonts w:ascii="Source Sans Pro" w:hAnsi="Source Sans Pro"/>
          <w:sz w:val="26"/>
          <w:szCs w:val="26"/>
        </w:rPr>
        <w:t>Manager</w:t>
      </w:r>
      <w:r>
        <w:rPr>
          <w:rFonts w:ascii="Source Sans Pro" w:hAnsi="Source Sans Pro"/>
          <w:sz w:val="26"/>
          <w:szCs w:val="26"/>
        </w:rPr>
        <w:t xml:space="preserve"> to work closely with our </w:t>
      </w:r>
      <w:r>
        <w:rPr>
          <w:rFonts w:ascii="Source Sans Pro" w:hAnsi="Source Sans Pro"/>
          <w:sz w:val="26"/>
          <w:szCs w:val="26"/>
        </w:rPr>
        <w:t>revenue</w:t>
      </w:r>
      <w:r>
        <w:rPr>
          <w:rFonts w:ascii="Source Sans Pro" w:hAnsi="Source Sans Pro"/>
          <w:sz w:val="26"/>
          <w:szCs w:val="26"/>
        </w:rPr>
        <w:t xml:space="preserve"> </w:t>
      </w:r>
      <w:r>
        <w:rPr>
          <w:rFonts w:ascii="Source Sans Pro" w:hAnsi="Source Sans Pro"/>
          <w:sz w:val="26"/>
          <w:szCs w:val="26"/>
        </w:rPr>
        <w:t>management team</w:t>
      </w:r>
      <w:r>
        <w:rPr>
          <w:rFonts w:ascii="Source Sans Pro" w:hAnsi="Source Sans Pro"/>
          <w:sz w:val="26"/>
          <w:szCs w:val="26"/>
        </w:rPr>
        <w:t xml:space="preserve"> to </w:t>
      </w:r>
      <w:r>
        <w:rPr>
          <w:rFonts w:ascii="Source Sans Pro" w:hAnsi="Source Sans Pro"/>
          <w:sz w:val="26"/>
          <w:szCs w:val="26"/>
        </w:rPr>
        <w:t xml:space="preserve">both identify and recruit new partners plus </w:t>
      </w:r>
      <w:r>
        <w:rPr>
          <w:rFonts w:ascii="Source Sans Pro" w:hAnsi="Source Sans Pro"/>
          <w:sz w:val="26"/>
          <w:szCs w:val="26"/>
        </w:rPr>
        <w:t xml:space="preserve">drive the overall </w:t>
      </w:r>
      <w:r>
        <w:rPr>
          <w:rFonts w:ascii="Source Sans Pro" w:hAnsi="Source Sans Pro"/>
          <w:sz w:val="26"/>
          <w:szCs w:val="26"/>
        </w:rPr>
        <w:t>opportunity pipeline from our partner channel</w:t>
      </w:r>
      <w:r>
        <w:rPr>
          <w:rFonts w:ascii="Source Sans Pro" w:hAnsi="Source Sans Pro"/>
          <w:sz w:val="26"/>
          <w:szCs w:val="26"/>
        </w:rPr>
        <w:t>.</w:t>
      </w:r>
    </w:p>
    <w:p w14:paraId="545A8386" w14:textId="77777777" w:rsidR="00851581" w:rsidRDefault="00851581" w:rsidP="00A93C17">
      <w:pPr>
        <w:pStyle w:val="LO-normal"/>
        <w:spacing w:after="0" w:line="240" w:lineRule="auto"/>
      </w:pPr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Pr="0006778E">
        <w:t>Sales</w:t>
      </w:r>
      <w:proofErr w:type="gramEnd"/>
      <w:r w:rsidRPr="0006778E">
        <w:t xml:space="preserve"> organization</w:t>
      </w:r>
      <w:r>
        <w:t xml:space="preserve"> template</w:t>
      </w:r>
      <w:r w:rsidRPr="0006778E">
        <w:t xml:space="preserve"> modelled for a typical midsized enterprise B2B SaaS. (</w:t>
      </w:r>
      <w:proofErr w:type="gramStart"/>
      <w:r w:rsidRPr="0006778E">
        <w:t>E.g.</w:t>
      </w:r>
      <w:proofErr w:type="gramEnd"/>
      <w:r w:rsidRPr="0006778E">
        <w:t xml:space="preserve"> ~100-125 employees, ~Series B fundraising completion, ~$5-$25M ARR). Job roles and accountabilities are a guide only based on </w:t>
      </w:r>
      <w:proofErr w:type="spellStart"/>
      <w:r w:rsidRPr="0006778E">
        <w:t>Functionly's</w:t>
      </w:r>
      <w:proofErr w:type="spellEnd"/>
      <w:r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Pr="0006778E">
        <w:t>Startup</w:t>
      </w:r>
      <w:proofErr w:type="spellEnd"/>
      <w:r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&lt;Replace with your own information&gt;</w:t>
      </w:r>
    </w:p>
    <w:p w14:paraId="76342EF0" w14:textId="77777777" w:rsidR="00B32DB5" w:rsidRDefault="00B32DB5" w:rsidP="00B32DB5">
      <w:pPr>
        <w:pStyle w:val="Heading2"/>
      </w:pPr>
      <w:r>
        <w:t>Roles and responsibilities</w:t>
      </w:r>
    </w:p>
    <w:p w14:paraId="4AF9A5E6" w14:textId="77777777" w:rsidR="00B32DB5" w:rsidRDefault="00B32DB5" w:rsidP="00B32DB5">
      <w:pPr>
        <w:pStyle w:val="LO-normal"/>
      </w:pPr>
      <w:r>
        <w:rPr>
          <w:rFonts w:ascii="Arial" w:eastAsia="Arial" w:hAnsi="Arial" w:cs="Arial"/>
        </w:rPr>
        <w:t xml:space="preserve">Partnership Management - </w:t>
      </w:r>
    </w:p>
    <w:p w14:paraId="665E3401" w14:textId="77777777" w:rsidR="00B32DB5" w:rsidRDefault="00B32DB5" w:rsidP="00B32DB5">
      <w:pPr>
        <w:pStyle w:val="LO-normal"/>
        <w:numPr>
          <w:ilvl w:val="0"/>
          <w:numId w:val="16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Partner Sourcing and Evaluation</w:t>
      </w:r>
    </w:p>
    <w:p w14:paraId="46FE0732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Execute due diligence and ongoing risk assessments against potential and existing third parties across</w:t>
      </w:r>
    </w:p>
    <w:p w14:paraId="1A66D42B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Research leads and qualify prospective partners</w:t>
      </w:r>
    </w:p>
    <w:p w14:paraId="75E648A4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Review and select partners while limiting risk</w:t>
      </w:r>
    </w:p>
    <w:p w14:paraId="1E7D9F4F" w14:textId="77777777" w:rsidR="00B32DB5" w:rsidRDefault="00B32DB5" w:rsidP="00B32DB5">
      <w:pPr>
        <w:pStyle w:val="LO-normal"/>
        <w:numPr>
          <w:ilvl w:val="0"/>
          <w:numId w:val="16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lastRenderedPageBreak/>
        <w:t>Partnership Analysis and Reporting</w:t>
      </w:r>
    </w:p>
    <w:p w14:paraId="54556A8C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reporting through analytics platforms</w:t>
      </w:r>
    </w:p>
    <w:p w14:paraId="6BE55652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Measure and report on partnership channel effectiveness and ROI</w:t>
      </w:r>
    </w:p>
    <w:p w14:paraId="582D8358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Create customized partnership dashboards, reports and KPI tracking</w:t>
      </w:r>
    </w:p>
    <w:p w14:paraId="6514B509" w14:textId="77777777" w:rsidR="00B32DB5" w:rsidRDefault="00B32DB5" w:rsidP="00B32DB5">
      <w:pPr>
        <w:pStyle w:val="LO-normal"/>
        <w:numPr>
          <w:ilvl w:val="0"/>
          <w:numId w:val="16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Partnership and Channel Strategy</w:t>
      </w:r>
    </w:p>
    <w:p w14:paraId="667213F3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target partnership and alliance profiles based on opportunity areas, goals and channel objectives</w:t>
      </w:r>
    </w:p>
    <w:p w14:paraId="417450E1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Plan partnership programs and initiatives</w:t>
      </w:r>
    </w:p>
    <w:p w14:paraId="264FAE64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Set partnership goals, objectives and KPI targets</w:t>
      </w:r>
    </w:p>
    <w:p w14:paraId="59E20652" w14:textId="77777777" w:rsidR="00B32DB5" w:rsidRDefault="00B32DB5" w:rsidP="00B32DB5">
      <w:pPr>
        <w:pStyle w:val="LO-normal"/>
        <w:numPr>
          <w:ilvl w:val="0"/>
          <w:numId w:val="16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Partnership Program Management</w:t>
      </w:r>
    </w:p>
    <w:p w14:paraId="4F196961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contractual agreements with partners</w:t>
      </w:r>
    </w:p>
    <w:p w14:paraId="1CEC962B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and co-execute tactical plans (rebate programs and other incentives) to generate partnership leads</w:t>
      </w:r>
    </w:p>
    <w:p w14:paraId="3B49A0A0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Support the partnership relationship with training and engagement</w:t>
      </w:r>
    </w:p>
    <w:p w14:paraId="12A3EC06" w14:textId="77777777" w:rsidR="00B32DB5" w:rsidRDefault="00B32DB5" w:rsidP="00B32DB5">
      <w:pPr>
        <w:pStyle w:val="LO-normal"/>
        <w:numPr>
          <w:ilvl w:val="1"/>
          <w:numId w:val="16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partnership programs and implement initiatives</w:t>
      </w:r>
    </w:p>
    <w:p w14:paraId="6FC396B9" w14:textId="3FD10034" w:rsidR="00882B95" w:rsidRDefault="0006778E" w:rsidP="00851581">
      <w:pPr>
        <w:pStyle w:val="Heading2"/>
        <w:spacing w:line="240" w:lineRule="auto"/>
      </w:pPr>
      <w:r>
        <w:t>Accountable metrics</w:t>
      </w:r>
      <w:r w:rsidR="00882B95">
        <w:br/>
      </w:r>
    </w:p>
    <w:p w14:paraId="2BE685F3" w14:textId="51DA374A" w:rsidR="00655FCF" w:rsidRDefault="00B32DB5" w:rsidP="00851581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B32DB5">
        <w:t xml:space="preserve">PRTNR: Channel generated </w:t>
      </w:r>
      <w:proofErr w:type="spellStart"/>
      <w:r w:rsidRPr="00B32DB5">
        <w:t>opps</w:t>
      </w:r>
      <w:proofErr w:type="spellEnd"/>
    </w:p>
    <w:p w14:paraId="4EE8B871" w14:textId="1219D02B" w:rsidR="00B32DB5" w:rsidRDefault="00B32DB5" w:rsidP="00B32DB5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B32DB5">
        <w:t xml:space="preserve">PRTNR: Channel </w:t>
      </w:r>
      <w:r>
        <w:t>revenue</w:t>
      </w:r>
    </w:p>
    <w:p w14:paraId="3F067E5B" w14:textId="3154652D" w:rsidR="00B32DB5" w:rsidRDefault="00B32DB5" w:rsidP="00B32DB5">
      <w:pPr>
        <w:pStyle w:val="ListParagraph"/>
        <w:numPr>
          <w:ilvl w:val="0"/>
          <w:numId w:val="9"/>
        </w:numPr>
        <w:shd w:val="clear" w:color="auto" w:fill="FFFFFF"/>
        <w:suppressAutoHyphens w:val="0"/>
        <w:spacing w:after="0" w:line="240" w:lineRule="auto"/>
      </w:pPr>
      <w:r w:rsidRPr="00B32DB5">
        <w:t xml:space="preserve">PRTNR: </w:t>
      </w:r>
      <w:r>
        <w:t>Recruit targets</w:t>
      </w:r>
    </w:p>
    <w:p w14:paraId="1D8AB62C" w14:textId="7CA73019" w:rsidR="00B32DB5" w:rsidRDefault="00B32DB5" w:rsidP="00B32DB5">
      <w:pPr>
        <w:shd w:val="clear" w:color="auto" w:fill="FFFFFF"/>
        <w:suppressAutoHyphens w:val="0"/>
        <w:spacing w:after="0" w:line="240" w:lineRule="auto"/>
      </w:pPr>
    </w:p>
    <w:p w14:paraId="56E8827B" w14:textId="6288AB55" w:rsidR="0006778E" w:rsidRDefault="0006778E" w:rsidP="0006778E">
      <w:pPr>
        <w:pStyle w:val="Heading2"/>
      </w:pPr>
      <w:r>
        <w:t>Compensati</w:t>
      </w:r>
      <w:r w:rsidR="00B32DB5">
        <w:t>o</w:t>
      </w:r>
      <w:r>
        <w:t>n guide*</w:t>
      </w:r>
    </w:p>
    <w:p w14:paraId="30E289A4" w14:textId="433D07C7" w:rsidR="0006778E" w:rsidRDefault="00E748E7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AUD </w:t>
      </w:r>
      <w:r w:rsidR="0006778E">
        <w:rPr>
          <w:rFonts w:ascii="Arial" w:eastAsia="Arial" w:hAnsi="Arial" w:cs="Arial"/>
        </w:rPr>
        <w:t>$</w:t>
      </w:r>
      <w:r w:rsidR="00B32DB5">
        <w:rPr>
          <w:rFonts w:ascii="Arial" w:eastAsia="Arial" w:hAnsi="Arial" w:cs="Arial"/>
        </w:rPr>
        <w:t>99,000</w:t>
      </w:r>
      <w:r>
        <w:rPr>
          <w:rFonts w:ascii="Arial" w:eastAsia="Arial" w:hAnsi="Arial" w:cs="Arial"/>
        </w:rPr>
        <w:t xml:space="preserve"> (base only)</w:t>
      </w:r>
      <w:r w:rsidR="0006778E">
        <w:rPr>
          <w:rFonts w:ascii="Arial" w:eastAsia="Arial" w:hAnsi="Arial" w:cs="Arial"/>
        </w:rPr>
        <w:t xml:space="preserve"> 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0B25" w14:textId="77777777" w:rsidR="00896C51" w:rsidRDefault="00896C51" w:rsidP="00FE4AB7">
      <w:pPr>
        <w:spacing w:after="0" w:line="240" w:lineRule="auto"/>
      </w:pPr>
      <w:r>
        <w:separator/>
      </w:r>
    </w:p>
  </w:endnote>
  <w:endnote w:type="continuationSeparator" w:id="0">
    <w:p w14:paraId="3834929A" w14:textId="77777777" w:rsidR="00896C51" w:rsidRDefault="00896C51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C4D7F" w14:textId="77777777" w:rsidR="00896C51" w:rsidRDefault="00896C51" w:rsidP="00FE4AB7">
      <w:pPr>
        <w:spacing w:after="0" w:line="240" w:lineRule="auto"/>
      </w:pPr>
      <w:r>
        <w:separator/>
      </w:r>
    </w:p>
  </w:footnote>
  <w:footnote w:type="continuationSeparator" w:id="0">
    <w:p w14:paraId="68B0D394" w14:textId="77777777" w:rsidR="00896C51" w:rsidRDefault="00896C51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5237097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4583720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55E74FA4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64696B9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5"/>
  </w:num>
  <w:num w:numId="3" w16cid:durableId="1736388614">
    <w:abstractNumId w:val="0"/>
  </w:num>
  <w:num w:numId="4" w16cid:durableId="804935971">
    <w:abstractNumId w:val="7"/>
  </w:num>
  <w:num w:numId="5" w16cid:durableId="139621298">
    <w:abstractNumId w:val="3"/>
  </w:num>
  <w:num w:numId="6" w16cid:durableId="464978609">
    <w:abstractNumId w:val="14"/>
  </w:num>
  <w:num w:numId="7" w16cid:durableId="885145440">
    <w:abstractNumId w:val="8"/>
  </w:num>
  <w:num w:numId="8" w16cid:durableId="1869561669">
    <w:abstractNumId w:val="1"/>
  </w:num>
  <w:num w:numId="9" w16cid:durableId="788013816">
    <w:abstractNumId w:val="10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9"/>
  </w:num>
  <w:num w:numId="13" w16cid:durableId="320547629">
    <w:abstractNumId w:val="11"/>
  </w:num>
  <w:num w:numId="14" w16cid:durableId="47533506">
    <w:abstractNumId w:val="12"/>
  </w:num>
  <w:num w:numId="15" w16cid:durableId="1666006818">
    <w:abstractNumId w:val="6"/>
  </w:num>
  <w:num w:numId="16" w16cid:durableId="2863587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2138E4"/>
    <w:rsid w:val="00360E1A"/>
    <w:rsid w:val="00655FCF"/>
    <w:rsid w:val="006626B0"/>
    <w:rsid w:val="00755EB4"/>
    <w:rsid w:val="00851581"/>
    <w:rsid w:val="00882B95"/>
    <w:rsid w:val="008844E3"/>
    <w:rsid w:val="00896C51"/>
    <w:rsid w:val="00A93C17"/>
    <w:rsid w:val="00B32DB5"/>
    <w:rsid w:val="00B6275D"/>
    <w:rsid w:val="00C27C1C"/>
    <w:rsid w:val="00DC58BB"/>
    <w:rsid w:val="00E748E7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32D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2003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2022-10-14T02:47:00Z</dcterms:created>
  <dcterms:modified xsi:type="dcterms:W3CDTF">2022-10-14T02:47:00Z</dcterms:modified>
  <dc:language>en-AU</dc:language>
</cp:coreProperties>
</file>